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4" w:lineRule="auto"/>
        <w:rPr>
          <w:rFonts w:ascii="SimSun"/>
          <w:sz w:val="21"/>
        </w:rPr>
      </w:pPr>
      <w:r/>
    </w:p>
    <w:p>
      <w:pPr>
        <w:spacing w:line="254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761"/>
        <w:spacing w:before="104" w:line="18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S</w:t>
      </w:r>
      <w:r>
        <w:rPr>
          <w:rFonts w:ascii="SimHei" w:hAnsi="SimHei" w:eastAsia="SimHei" w:cs="SimHei"/>
          <w:sz w:val="32"/>
          <w:szCs w:val="32"/>
          <w:spacing w:val="-83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D</w:t>
      </w:r>
      <w:r>
        <w:rPr>
          <w:rFonts w:ascii="SimHei" w:hAnsi="SimHei" w:eastAsia="SimHei" w:cs="SimHei"/>
          <w:sz w:val="32"/>
          <w:szCs w:val="32"/>
          <w:spacing w:val="-81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P</w:t>
      </w:r>
      <w:r>
        <w:rPr>
          <w:rFonts w:ascii="SimHei" w:hAnsi="SimHei" w:eastAsia="SimHei" w:cs="SimHei"/>
          <w:sz w:val="32"/>
          <w:szCs w:val="32"/>
          <w:spacing w:val="-84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R</w:t>
      </w:r>
      <w:r>
        <w:rPr>
          <w:rFonts w:ascii="SimHei" w:hAnsi="SimHei" w:eastAsia="SimHei" w:cs="SimHei"/>
          <w:sz w:val="32"/>
          <w:szCs w:val="32"/>
          <w:spacing w:val="-89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-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2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0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2</w:t>
      </w:r>
      <w:r>
        <w:rPr>
          <w:rFonts w:ascii="SimHei" w:hAnsi="SimHei" w:eastAsia="SimHei" w:cs="SimHei"/>
          <w:sz w:val="32"/>
          <w:szCs w:val="32"/>
          <w:spacing w:val="-73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1</w:t>
      </w:r>
      <w:r>
        <w:rPr>
          <w:rFonts w:ascii="SimHei" w:hAnsi="SimHei" w:eastAsia="SimHei" w:cs="SimHei"/>
          <w:sz w:val="32"/>
          <w:szCs w:val="32"/>
          <w:spacing w:val="-88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-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0</w:t>
      </w:r>
      <w:r>
        <w:rPr>
          <w:rFonts w:ascii="SimHei" w:hAnsi="SimHei" w:eastAsia="SimHei" w:cs="SimHei"/>
          <w:sz w:val="32"/>
          <w:szCs w:val="32"/>
          <w:spacing w:val="-76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1</w:t>
      </w:r>
      <w:r>
        <w:rPr>
          <w:rFonts w:ascii="SimHei" w:hAnsi="SimHei" w:eastAsia="SimHei" w:cs="SimHei"/>
          <w:sz w:val="32"/>
          <w:szCs w:val="32"/>
          <w:spacing w:val="-88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8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0</w:t>
      </w:r>
      <w:r>
        <w:rPr>
          <w:rFonts w:ascii="SimHei" w:hAnsi="SimHei" w:eastAsia="SimHei" w:cs="SimHei"/>
          <w:sz w:val="32"/>
          <w:szCs w:val="32"/>
          <w:spacing w:val="-87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0</w:t>
      </w:r>
      <w:r>
        <w:rPr>
          <w:rFonts w:ascii="SimHei" w:hAnsi="SimHei" w:eastAsia="SimHei" w:cs="SimHei"/>
          <w:sz w:val="32"/>
          <w:szCs w:val="32"/>
          <w:spacing w:val="-75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1</w:t>
      </w:r>
      <w:r>
        <w:rPr>
          <w:rFonts w:ascii="SimHei" w:hAnsi="SimHei" w:eastAsia="SimHei" w:cs="SimHei"/>
          <w:sz w:val="32"/>
          <w:szCs w:val="32"/>
          <w:spacing w:val="-73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w w:val="65"/>
        </w:rPr>
        <w:t>1</w:t>
      </w:r>
    </w:p>
    <w:p>
      <w:pPr>
        <w:ind w:firstLine="2169"/>
        <w:spacing w:before="424" w:line="185" w:lineRule="auto"/>
        <w:rPr>
          <w:rFonts w:ascii="SimSun" w:hAnsi="SimSun" w:eastAsia="SimSun" w:cs="SimSun"/>
          <w:sz w:val="132"/>
          <w:szCs w:val="132"/>
        </w:rPr>
      </w:pPr>
      <w:r>
        <w:rPr>
          <w:rFonts w:ascii="SimSun" w:hAnsi="SimSun" w:eastAsia="SimSun" w:cs="SimSun"/>
          <w:sz w:val="132"/>
          <w:szCs w:val="132"/>
          <w:color w:val="FF0000"/>
          <w14:textOutline w14:w="23948" w14:cap="flat" w14:cmpd="sng">
            <w14:solidFill>
              <w14:srgbClr w14:val="FF0000"/>
            </w14:solidFill>
            <w14:prstDash w14:val="solid"/>
            <w14:miter w14:lim="10"/>
          </w14:textOutline>
          <w:spacing w:val="-109"/>
          <w:w w:val="83"/>
        </w:rPr>
        <w:t>山东省水利厅文件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spacing w:line="278" w:lineRule="auto"/>
        <w:rPr>
          <w:rFonts w:ascii="SimSun"/>
          <w:sz w:val="21"/>
        </w:rPr>
      </w:pPr>
      <w:r/>
    </w:p>
    <w:p>
      <w:pPr>
        <w:spacing w:line="279" w:lineRule="auto"/>
        <w:rPr>
          <w:rFonts w:ascii="SimSun"/>
          <w:sz w:val="21"/>
        </w:rPr>
      </w:pPr>
      <w:r/>
    </w:p>
    <w:p>
      <w:pPr>
        <w:spacing w:line="279" w:lineRule="auto"/>
        <w:rPr>
          <w:rFonts w:ascii="SimSun"/>
          <w:sz w:val="21"/>
        </w:rPr>
      </w:pPr>
      <w:r/>
    </w:p>
    <w:p>
      <w:pPr>
        <w:ind w:firstLine="4391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3"/>
        </w:rPr>
        <w:t>鲁水规字〔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23"/>
        </w:rPr>
        <w:t>2021〕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23"/>
        </w:rPr>
        <w:t>11</w:t>
      </w:r>
      <w:r>
        <w:rPr>
          <w:rFonts w:ascii="FangSong" w:hAnsi="FangSong" w:eastAsia="FangSong" w:cs="FangSong"/>
          <w:sz w:val="32"/>
          <w:szCs w:val="32"/>
          <w:spacing w:val="-56"/>
        </w:rPr>
        <w:t> </w:t>
      </w:r>
      <w:r>
        <w:rPr>
          <w:rFonts w:ascii="FangSong" w:hAnsi="FangSong" w:eastAsia="FangSong" w:cs="FangSong"/>
          <w:sz w:val="32"/>
          <w:szCs w:val="32"/>
          <w:spacing w:val="-23"/>
        </w:rPr>
        <w:t>号</w:t>
      </w:r>
    </w:p>
    <w:p>
      <w:pPr>
        <w:ind w:firstLine="1408"/>
        <w:spacing w:before="91" w:line="40" w:lineRule="exact"/>
        <w:textAlignment w:val="center"/>
        <w:rPr/>
      </w:pPr>
      <w:r>
        <w:drawing>
          <wp:inline distT="0" distB="0" distL="0" distR="0">
            <wp:extent cx="5649595" cy="254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4959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3" w:lineRule="auto"/>
        <w:rPr>
          <w:rFonts w:ascii="SimSun"/>
          <w:sz w:val="21"/>
        </w:rPr>
      </w:pPr>
      <w:r/>
    </w:p>
    <w:p>
      <w:pPr>
        <w:spacing w:line="303" w:lineRule="auto"/>
        <w:rPr>
          <w:rFonts w:ascii="SimSun"/>
          <w:sz w:val="21"/>
        </w:rPr>
      </w:pPr>
      <w:r/>
    </w:p>
    <w:p>
      <w:pPr>
        <w:spacing w:line="303" w:lineRule="auto"/>
        <w:rPr>
          <w:rFonts w:ascii="SimSun"/>
          <w:sz w:val="21"/>
        </w:rPr>
      </w:pPr>
      <w:r/>
    </w:p>
    <w:p>
      <w:pPr>
        <w:ind w:left="2054" w:right="1495" w:hanging="420"/>
        <w:spacing w:before="144" w:line="25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山东省水利厅关于印发《山东省水利工程建设</w:t>
      </w:r>
      <w:r>
        <w:rPr>
          <w:rFonts w:ascii="SimHei" w:hAnsi="SimHei" w:eastAsia="SimHei" w:cs="SimHei"/>
          <w:sz w:val="44"/>
          <w:szCs w:val="44"/>
          <w:spacing w:val="15"/>
        </w:rPr>
        <w:t> </w:t>
      </w:r>
      <w:r>
        <w:rPr>
          <w:rFonts w:ascii="SimHei" w:hAnsi="SimHei" w:eastAsia="SimHei" w:cs="SimHei"/>
          <w:sz w:val="44"/>
          <w:szCs w:val="44"/>
          <w:spacing w:val="-12"/>
        </w:rPr>
        <w:t>项目招标投标行政监督管理办法》</w:t>
      </w:r>
      <w:r>
        <w:rPr>
          <w:rFonts w:ascii="SimHei" w:hAnsi="SimHei" w:eastAsia="SimHei" w:cs="SimHei"/>
          <w:sz w:val="44"/>
          <w:szCs w:val="44"/>
          <w:spacing w:val="-7"/>
        </w:rPr>
        <w:t> </w:t>
      </w:r>
      <w:r>
        <w:rPr>
          <w:rFonts w:ascii="SimHei" w:hAnsi="SimHei" w:eastAsia="SimHei" w:cs="SimHei"/>
          <w:sz w:val="44"/>
          <w:szCs w:val="44"/>
          <w:spacing w:val="-12"/>
        </w:rPr>
        <w:t>的通知</w:t>
      </w:r>
    </w:p>
    <w:p>
      <w:pPr>
        <w:spacing w:line="440" w:lineRule="auto"/>
        <w:rPr>
          <w:rFonts w:ascii="SimSun"/>
          <w:sz w:val="21"/>
        </w:rPr>
      </w:pPr>
      <w:r/>
    </w:p>
    <w:p>
      <w:pPr>
        <w:ind w:firstLine="1600"/>
        <w:spacing w:before="105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各市水利（水务）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局，厅机关有关处室，</w:t>
      </w:r>
      <w:r>
        <w:rPr>
          <w:rFonts w:ascii="FangSong" w:hAnsi="FangSong" w:eastAsia="FangSong" w:cs="FangSong"/>
          <w:sz w:val="32"/>
          <w:szCs w:val="32"/>
          <w:spacing w:val="74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各有关单位：</w:t>
      </w:r>
    </w:p>
    <w:p>
      <w:pPr>
        <w:ind w:left="1605" w:right="1473" w:firstLine="646"/>
        <w:spacing w:before="24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为了规范行政监督行为，</w:t>
      </w:r>
      <w:r>
        <w:rPr>
          <w:rFonts w:ascii="FangSong" w:hAnsi="FangSong" w:eastAsia="FangSong" w:cs="FangSong"/>
          <w:sz w:val="32"/>
          <w:szCs w:val="32"/>
          <w:spacing w:val="8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维护招标投标活动当事人合法权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益，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优化营商环境，</w:t>
      </w:r>
      <w:r>
        <w:rPr>
          <w:rFonts w:ascii="FangSong" w:hAnsi="FangSong" w:eastAsia="FangSong" w:cs="FangSong"/>
          <w:sz w:val="32"/>
          <w:szCs w:val="32"/>
          <w:spacing w:val="-32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保证招标投标活动依法进行，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省水利厅对《山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</w:rPr>
        <w:t>东省水利工程建设项目招标投标行政监督管理办法》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</w:rPr>
        <w:t>进行了修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订，</w:t>
      </w:r>
      <w:r>
        <w:rPr>
          <w:rFonts w:ascii="FangSong" w:hAnsi="FangSong" w:eastAsia="FangSong" w:cs="FangSong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现印发给你们，请遵照执行。</w:t>
      </w:r>
    </w:p>
    <w:p>
      <w:pPr>
        <w:ind w:firstLine="2266"/>
        <w:spacing w:before="281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附件：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山东省水利工程建设项目招标投标行政监督管理办法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spacing w:line="276" w:lineRule="auto"/>
        <w:rPr>
          <w:rFonts w:ascii="SimSun"/>
          <w:sz w:val="21"/>
        </w:rPr>
      </w:pPr>
      <w:r/>
    </w:p>
    <w:p>
      <w:pPr>
        <w:spacing w:line="276" w:lineRule="auto"/>
        <w:rPr>
          <w:rFonts w:ascii="SimSun"/>
          <w:sz w:val="21"/>
        </w:rPr>
      </w:pPr>
      <w:r/>
    </w:p>
    <w:p>
      <w:pPr>
        <w:spacing w:line="277" w:lineRule="auto"/>
        <w:rPr>
          <w:rFonts w:ascii="SimSun"/>
          <w:sz w:val="21"/>
        </w:rPr>
      </w:pPr>
      <w:r/>
    </w:p>
    <w:p>
      <w:pPr>
        <w:ind w:firstLine="6970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-432230</wp:posOffset>
            </wp:positionV>
            <wp:extent cx="1511300" cy="151130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-9"/>
        </w:rPr>
        <w:t>山东省水利厅</w:t>
      </w:r>
    </w:p>
    <w:p>
      <w:pPr>
        <w:ind w:firstLine="6702"/>
        <w:spacing w:before="24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2021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年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12</w:t>
      </w:r>
      <w:r>
        <w:rPr>
          <w:rFonts w:ascii="FangSong" w:hAnsi="FangSong" w:eastAsia="FangSong" w:cs="FangSong"/>
          <w:sz w:val="32"/>
          <w:szCs w:val="32"/>
          <w:spacing w:val="-51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月</w:t>
      </w:r>
      <w:r>
        <w:rPr>
          <w:rFonts w:ascii="FangSong" w:hAnsi="FangSong" w:eastAsia="FangSong" w:cs="FangSong"/>
          <w:sz w:val="32"/>
          <w:szCs w:val="32"/>
          <w:spacing w:val="-46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14</w:t>
      </w:r>
      <w:r>
        <w:rPr>
          <w:rFonts w:ascii="FangSong" w:hAnsi="FangSong" w:eastAsia="FangSong" w:cs="FangSong"/>
          <w:sz w:val="32"/>
          <w:szCs w:val="32"/>
          <w:spacing w:val="-10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日</w:t>
      </w:r>
    </w:p>
    <w:p>
      <w:pPr>
        <w:sectPr>
          <w:footerReference w:type="default" r:id="rId1"/>
          <w:pgSz w:w="11907" w:h="16839"/>
          <w:pgMar w:top="0" w:right="0" w:bottom="1110" w:left="0" w:header="0" w:footer="914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619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附件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2754"/>
        <w:spacing w:before="143" w:line="242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山东省水利工程建设项目招标投标</w:t>
      </w:r>
    </w:p>
    <w:p>
      <w:pPr>
        <w:ind w:firstLine="4268"/>
        <w:spacing w:line="204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行政监督管理办法</w:t>
      </w:r>
    </w:p>
    <w:p>
      <w:pPr>
        <w:spacing w:line="290" w:lineRule="auto"/>
        <w:rPr>
          <w:rFonts w:ascii="SimSun"/>
          <w:sz w:val="21"/>
        </w:rPr>
      </w:pPr>
      <w:r/>
    </w:p>
    <w:p>
      <w:pPr>
        <w:spacing w:line="291" w:lineRule="auto"/>
        <w:rPr>
          <w:rFonts w:ascii="SimSun"/>
          <w:sz w:val="21"/>
        </w:rPr>
      </w:pPr>
      <w:r/>
    </w:p>
    <w:p>
      <w:pPr>
        <w:ind w:left="1596" w:right="1310" w:firstLine="662"/>
        <w:spacing w:before="105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第一条</w:t>
      </w:r>
      <w:r>
        <w:rPr>
          <w:rFonts w:ascii="FangSong" w:hAnsi="FangSong" w:eastAsia="FangSong" w:cs="FangSong"/>
          <w:sz w:val="32"/>
          <w:szCs w:val="32"/>
          <w:spacing w:val="21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为了规范行政监督行为，</w:t>
      </w:r>
      <w:r>
        <w:rPr>
          <w:rFonts w:ascii="FangSong" w:hAnsi="FangSong" w:eastAsia="FangSong" w:cs="FangSong"/>
          <w:sz w:val="32"/>
          <w:szCs w:val="32"/>
          <w:spacing w:val="-26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维护招标投标活动当事人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29"/>
        </w:rPr>
        <w:t>合法权益，</w:t>
      </w:r>
      <w:r>
        <w:rPr>
          <w:rFonts w:ascii="FangSong" w:hAnsi="FangSong" w:eastAsia="FangSong" w:cs="FangSong"/>
          <w:sz w:val="32"/>
          <w:szCs w:val="32"/>
          <w:spacing w:val="-28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优化营商环境，</w:t>
      </w:r>
      <w:r>
        <w:rPr>
          <w:rFonts w:ascii="FangSong" w:hAnsi="FangSong" w:eastAsia="FangSong" w:cs="FangSong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保证招标投标活动依法进行，</w:t>
      </w:r>
      <w:r>
        <w:rPr>
          <w:rFonts w:ascii="FangSong" w:hAnsi="FangSong" w:eastAsia="FangSong" w:cs="FangSong"/>
          <w:sz w:val="32"/>
          <w:szCs w:val="32"/>
          <w:spacing w:val="-25"/>
        </w:rPr>
        <w:t> </w:t>
      </w:r>
      <w:r>
        <w:rPr>
          <w:rFonts w:ascii="FangSong" w:hAnsi="FangSong" w:eastAsia="FangSong" w:cs="FangSong"/>
          <w:sz w:val="32"/>
          <w:szCs w:val="32"/>
          <w:spacing w:val="-29"/>
        </w:rPr>
        <w:t>根据《中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华人民共和国招标投标法》《中华人民共和国招标投标法实施条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-21"/>
        </w:rPr>
        <w:t>例》《电子招标投标办法》《水利工程建设项目招标投标管理规定》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等法律法规规章要求，结合本省实际，制定本办法。</w:t>
      </w:r>
    </w:p>
    <w:p>
      <w:pPr>
        <w:ind w:left="1605" w:right="1476" w:firstLine="653"/>
        <w:spacing w:before="256" w:line="2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第二条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在本省行政区域内依法必须招标的水利工程建设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项目的勘察、设计、施工、监理以及相关重要设备、材料采购等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的招标投标活动，</w:t>
      </w:r>
      <w:r>
        <w:rPr>
          <w:rFonts w:ascii="FangSong" w:hAnsi="FangSong" w:eastAsia="FangSong" w:cs="FangSong"/>
          <w:sz w:val="32"/>
          <w:szCs w:val="32"/>
          <w:spacing w:val="86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适用本办法。</w:t>
      </w:r>
    </w:p>
    <w:p>
      <w:pPr>
        <w:ind w:left="1601" w:right="1476" w:firstLine="656"/>
        <w:spacing w:before="25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第三条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县级及以上水行政主管部门是水利工程建设项目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招投标活动的行政监督部门。上级行政监督部门指导下级行政监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督部门的有关行政监督工作。</w:t>
      </w:r>
    </w:p>
    <w:p>
      <w:pPr>
        <w:ind w:left="1601" w:right="1475" w:firstLine="656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第四条</w:t>
      </w:r>
      <w:r>
        <w:rPr>
          <w:rFonts w:ascii="FangSong" w:hAnsi="FangSong" w:eastAsia="FangSong" w:cs="FangSong"/>
          <w:sz w:val="32"/>
          <w:szCs w:val="32"/>
          <w:spacing w:val="38"/>
        </w:rPr>
        <w:t>  </w:t>
      </w:r>
      <w:r>
        <w:rPr>
          <w:rFonts w:ascii="FangSong" w:hAnsi="FangSong" w:eastAsia="FangSong" w:cs="FangSong"/>
          <w:sz w:val="32"/>
          <w:szCs w:val="32"/>
          <w:spacing w:val="-9"/>
        </w:rPr>
        <w:t>由省政府、省水利厅组建项目法人或厅直属单位直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接实施的水利工程建设项目招标投标活动，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由省水利厅实施监督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或者由省、设区的市水行政主管部门联合实施监督。</w:t>
      </w:r>
    </w:p>
    <w:p>
      <w:pPr>
        <w:ind w:left="1608" w:right="1474" w:firstLine="634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其他项目的招标投标活动，</w:t>
      </w:r>
      <w:r>
        <w:rPr>
          <w:rFonts w:ascii="FangSong" w:hAnsi="FangSong" w:eastAsia="FangSong" w:cs="FangSong"/>
          <w:sz w:val="32"/>
          <w:szCs w:val="32"/>
          <w:spacing w:val="105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由设区的市、县（市、区）</w:t>
      </w:r>
      <w:r>
        <w:rPr>
          <w:rFonts w:ascii="FangSong" w:hAnsi="FangSong" w:eastAsia="FangSong" w:cs="FangSong"/>
          <w:sz w:val="32"/>
          <w:szCs w:val="32"/>
          <w:spacing w:val="-6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水行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政主管部门实施监督。具体权限划分由设区的市水行政主管部门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负责制定。</w:t>
      </w:r>
    </w:p>
    <w:p>
      <w:pPr>
        <w:sectPr>
          <w:footerReference w:type="default" r:id="rId4"/>
          <w:pgSz w:w="11907" w:h="16839"/>
          <w:pgMar w:top="0" w:right="0" w:bottom="1224" w:left="0" w:header="0" w:footer="1030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3" w:lineRule="auto"/>
        <w:rPr>
          <w:rFonts w:ascii="SimSun"/>
          <w:sz w:val="21"/>
        </w:rPr>
      </w:pPr>
      <w:r/>
    </w:p>
    <w:p>
      <w:pPr>
        <w:ind w:left="1609" w:right="1476" w:firstLine="649"/>
        <w:spacing w:before="10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第五条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水利工程建设项目招标投标行政监督采取事前备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案监督、事中过程监督和事后报告监督的方式进行。</w:t>
      </w:r>
    </w:p>
    <w:p>
      <w:pPr>
        <w:ind w:left="1601" w:right="1474" w:firstLine="656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第六条</w:t>
      </w:r>
      <w:r>
        <w:rPr>
          <w:rFonts w:ascii="FangSong" w:hAnsi="FangSong" w:eastAsia="FangSong" w:cs="FangSong"/>
          <w:sz w:val="32"/>
          <w:szCs w:val="32"/>
          <w:spacing w:val="14"/>
        </w:rPr>
        <w:t>  </w:t>
      </w:r>
      <w:r>
        <w:rPr>
          <w:rFonts w:ascii="FangSong" w:hAnsi="FangSong" w:eastAsia="FangSong" w:cs="FangSong"/>
          <w:sz w:val="32"/>
          <w:szCs w:val="32"/>
          <w:spacing w:val="-22"/>
        </w:rPr>
        <w:t>大力推行电子招标投标，</w:t>
      </w:r>
      <w:r>
        <w:rPr>
          <w:rFonts w:ascii="FangSong" w:hAnsi="FangSong" w:eastAsia="FangSong" w:cs="FangSong"/>
          <w:sz w:val="32"/>
          <w:szCs w:val="32"/>
          <w:spacing w:val="43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除特殊情形外，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22"/>
        </w:rPr>
        <w:t>依法必须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进行招标的项目应当采用电子招标投标方式。加快推进电子化监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督手段运用，</w:t>
      </w:r>
      <w:r>
        <w:rPr>
          <w:rFonts w:ascii="FangSong" w:hAnsi="FangSong" w:eastAsia="FangSong" w:cs="FangSong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加强大数据分析监测预警，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推进交易流程、行政监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督电子化和规范化。</w:t>
      </w:r>
    </w:p>
    <w:p>
      <w:pPr>
        <w:ind w:left="1608" w:right="1432" w:firstLine="650"/>
        <w:spacing w:before="1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第七条</w:t>
      </w:r>
      <w:r>
        <w:rPr>
          <w:rFonts w:ascii="FangSong" w:hAnsi="FangSong" w:eastAsia="FangSong" w:cs="FangSong"/>
          <w:sz w:val="32"/>
          <w:szCs w:val="32"/>
          <w:spacing w:val="9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行政监督部门应加强招投标活动重点环节的监督，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对发现的问题责令整改。</w:t>
      </w:r>
    </w:p>
    <w:p>
      <w:pPr>
        <w:ind w:firstLine="2229"/>
        <w:spacing w:before="1" w:line="20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（一）招标准备环节</w:t>
      </w:r>
    </w:p>
    <w:p>
      <w:pPr>
        <w:ind w:firstLine="2262"/>
        <w:spacing w:before="226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1、招标工作应具备的条件是否满足有关规定和要求；</w:t>
      </w:r>
    </w:p>
    <w:p>
      <w:pPr>
        <w:ind w:left="1605" w:right="1371" w:firstLine="649"/>
        <w:spacing w:before="259" w:line="29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2、招标方式、招标组织形式、招标代理的选取、分标方案、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招标计划安排、对投标人资质（资格）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要求、评标方法、评标委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员会组建方案、开标场所以及开标、评标工作具体安排等是否符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合有关规定；</w:t>
      </w:r>
    </w:p>
    <w:p>
      <w:pPr>
        <w:ind w:firstLine="2267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3、招标公告的内容、发布方式及媒介是否符合有关规定；</w:t>
      </w:r>
    </w:p>
    <w:p>
      <w:pPr>
        <w:ind w:firstLine="2253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4、招标文件（含资格审查文件）的内容是否符合有关规定；</w:t>
      </w:r>
    </w:p>
    <w:p>
      <w:pPr>
        <w:ind w:firstLine="2258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5、评标标准和评标办法是否符合国家、省有关规定。</w:t>
      </w:r>
    </w:p>
    <w:p>
      <w:pPr>
        <w:ind w:firstLine="2229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（二）资格审查（含预审和后审）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环节</w:t>
      </w:r>
    </w:p>
    <w:p>
      <w:pPr>
        <w:ind w:left="1629" w:right="1312" w:firstLine="633"/>
        <w:spacing w:before="258" w:line="2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1、是否存在歧视、限制或者排斥潜在投标人（或者投标人）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25"/>
        </w:rPr>
        <w:t>的行为；</w:t>
      </w:r>
    </w:p>
    <w:p>
      <w:pPr>
        <w:ind w:left="1611" w:right="1474" w:firstLine="643"/>
        <w:spacing w:before="25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2、潜在投标人（或者投标人）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资格条件是否符合招标文件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要求和有关规定；</w:t>
      </w:r>
    </w:p>
    <w:p>
      <w:pPr>
        <w:sectPr>
          <w:footerReference w:type="default" r:id="rId5"/>
          <w:pgSz w:w="11907" w:h="16839"/>
          <w:pgMar w:top="0" w:right="0" w:bottom="1108" w:left="0" w:header="0" w:footer="914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3" w:lineRule="auto"/>
        <w:rPr>
          <w:rFonts w:ascii="SimSun"/>
          <w:sz w:val="21"/>
        </w:rPr>
      </w:pPr>
      <w:r/>
    </w:p>
    <w:p>
      <w:pPr>
        <w:ind w:left="1601" w:right="1474" w:firstLine="665"/>
        <w:spacing w:before="10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3、招标人或其代理人是否对潜在投标人（或者投标人）</w:t>
      </w:r>
      <w:r>
        <w:rPr>
          <w:rFonts w:ascii="FangSong" w:hAnsi="FangSong" w:eastAsia="FangSong" w:cs="FangSong"/>
          <w:sz w:val="32"/>
          <w:szCs w:val="32"/>
          <w:spacing w:val="-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在处罚期限内或在工程质量、安全生产和信用等方面存在的问题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进行了审查。</w:t>
      </w:r>
    </w:p>
    <w:p>
      <w:pPr>
        <w:ind w:firstLine="2229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（三）开标环节</w:t>
      </w:r>
    </w:p>
    <w:p>
      <w:pPr>
        <w:ind w:firstLine="2262"/>
        <w:spacing w:before="222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1、开标时间、地点是否符合有关规定；</w:t>
      </w:r>
    </w:p>
    <w:p>
      <w:pPr>
        <w:ind w:firstLine="2254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2、投标人递交投标文件是否符合招标文件规定；</w:t>
      </w:r>
    </w:p>
    <w:p>
      <w:pPr>
        <w:ind w:firstLine="2267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3、开标程序是否符合有关规定。</w:t>
      </w:r>
    </w:p>
    <w:p>
      <w:pPr>
        <w:ind w:firstLine="2229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（四）评标环节</w:t>
      </w:r>
    </w:p>
    <w:p>
      <w:pPr>
        <w:ind w:firstLine="2262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1、评标专家抽取是否符合有关规定；</w:t>
      </w:r>
    </w:p>
    <w:p>
      <w:pPr>
        <w:ind w:firstLine="2254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2、评标程序是否符合有关规定；</w:t>
      </w:r>
    </w:p>
    <w:p>
      <w:pPr>
        <w:ind w:firstLine="2267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3、评标方法、标准是否与招标文件一致；</w:t>
      </w:r>
    </w:p>
    <w:p>
      <w:pPr>
        <w:ind w:left="1614" w:right="1396" w:firstLine="639"/>
        <w:spacing w:before="258" w:line="2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4、评委赋分、计分是否符合评标标准、是否与审查意见一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致、是否存在明显不公平；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20"/>
        </w:rPr>
        <w:t>评委评审意见是否客观、详实、公正；</w:t>
      </w:r>
    </w:p>
    <w:p>
      <w:pPr>
        <w:ind w:left="1614" w:right="1474" w:firstLine="644"/>
        <w:spacing w:before="25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5、评标报告的讨论及通过、推荐的中标候选人及其排序是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否符合有关规定。</w:t>
      </w:r>
    </w:p>
    <w:p>
      <w:pPr>
        <w:ind w:firstLine="2229"/>
        <w:spacing w:line="2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（五）定标环节</w:t>
      </w:r>
    </w:p>
    <w:p>
      <w:pPr>
        <w:ind w:firstLine="2262"/>
        <w:spacing w:before="222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1、定标结果是否符合有关规定和招标文件的要求；</w:t>
      </w:r>
    </w:p>
    <w:p>
      <w:pPr>
        <w:ind w:firstLine="2254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2、定标的时间是否符合有关规定。</w:t>
      </w:r>
    </w:p>
    <w:p>
      <w:pPr>
        <w:ind w:firstLine="2229"/>
        <w:spacing w:before="258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（六）合同订立环节</w:t>
      </w:r>
    </w:p>
    <w:p>
      <w:pPr>
        <w:ind w:left="1605" w:right="1474" w:firstLine="656"/>
        <w:spacing w:before="258" w:line="2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1、合同订立的时间、内容、格式等是否符合有关规定及招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投标文件的要求；</w:t>
      </w:r>
    </w:p>
    <w:p>
      <w:pPr>
        <w:ind w:firstLine="2254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2、投标保证金的收取及退还是否符合有关规定；</w:t>
      </w:r>
    </w:p>
    <w:p>
      <w:pPr>
        <w:sectPr>
          <w:footerReference w:type="default" r:id="rId6"/>
          <w:pgSz w:w="11907" w:h="16839"/>
          <w:pgMar w:top="0" w:right="0" w:bottom="1224" w:left="0" w:header="0" w:footer="1030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2267"/>
        <w:spacing w:before="104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3、履约担保等保证金约定形式及时间是否符合有关规定。</w:t>
      </w:r>
    </w:p>
    <w:p>
      <w:pPr>
        <w:ind w:firstLine="2253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4、是否约定保障农民工工资支付的相关条款。</w:t>
      </w:r>
    </w:p>
    <w:p>
      <w:pPr>
        <w:ind w:left="1601" w:right="1371" w:firstLine="656"/>
        <w:spacing w:before="25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第八条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招标人应在发布招标公告前向行政监督部门提交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招标备案。</w:t>
      </w:r>
      <w:r>
        <w:rPr>
          <w:rFonts w:ascii="FangSong" w:hAnsi="FangSong" w:eastAsia="FangSong" w:cs="FangSong"/>
          <w:sz w:val="32"/>
          <w:szCs w:val="32"/>
          <w:spacing w:val="7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招标备案内容包括：招标已具备的条件、招标方式、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分标方案、招标计划安排、投标人资质（资格）条件、评标方法、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评标委员会组建方案以及开标、评标工作具体安排等。</w:t>
      </w:r>
    </w:p>
    <w:p>
      <w:pPr>
        <w:ind w:left="1597" w:right="1418" w:firstLine="660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第九条</w:t>
      </w:r>
      <w:r>
        <w:rPr>
          <w:rFonts w:ascii="FangSong" w:hAnsi="FangSong" w:eastAsia="FangSong" w:cs="FangSong"/>
          <w:sz w:val="32"/>
          <w:szCs w:val="32"/>
          <w:spacing w:val="18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招标人在制作招标文件时，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应严格执行相应招标文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件示范文本要求。</w:t>
      </w:r>
      <w:r>
        <w:rPr>
          <w:rFonts w:ascii="FangSong" w:hAnsi="FangSong" w:eastAsia="FangSong" w:cs="FangSong"/>
          <w:sz w:val="32"/>
          <w:szCs w:val="32"/>
          <w:spacing w:val="77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招标文件应包括项目的需求清单、技术要求、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对投标人资格审查的标准、投标报价要求、评标标准和方法、定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标方法等所有实质性要求和条件以及拟签订合同的主要条款。</w:t>
      </w:r>
    </w:p>
    <w:p>
      <w:pPr>
        <w:ind w:left="1606" w:right="1472" w:firstLine="651"/>
        <w:spacing w:before="6" w:line="30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第十条</w:t>
      </w:r>
      <w:r>
        <w:rPr>
          <w:rFonts w:ascii="FangSong" w:hAnsi="FangSong" w:eastAsia="FangSong" w:cs="FangSong"/>
          <w:sz w:val="32"/>
          <w:szCs w:val="32"/>
          <w:spacing w:val="48"/>
        </w:rPr>
        <w:t> 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招标人在开标前，</w:t>
      </w:r>
      <w:r>
        <w:rPr>
          <w:rFonts w:ascii="FangSong" w:hAnsi="FangSong" w:eastAsia="FangSong" w:cs="FangSong"/>
          <w:sz w:val="32"/>
          <w:szCs w:val="32"/>
          <w:spacing w:val="-2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须提前</w:t>
      </w:r>
      <w:r>
        <w:rPr>
          <w:rFonts w:ascii="FangSong" w:hAnsi="FangSong" w:eastAsia="FangSong" w:cs="FangSong"/>
          <w:sz w:val="32"/>
          <w:szCs w:val="32"/>
          <w:spacing w:val="-5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2</w:t>
      </w:r>
      <w:r>
        <w:rPr>
          <w:rFonts w:ascii="FangSong" w:hAnsi="FangSong" w:eastAsia="FangSong" w:cs="FangSong"/>
          <w:sz w:val="32"/>
          <w:szCs w:val="32"/>
          <w:spacing w:val="-7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日向行政监督部门报告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开标的具体时间、地点。行政监督部门可以派员监督开标、评标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活动，</w:t>
      </w:r>
      <w:r>
        <w:rPr>
          <w:rFonts w:ascii="FangSong" w:hAnsi="FangSong" w:eastAsia="FangSong" w:cs="FangSong"/>
          <w:sz w:val="32"/>
          <w:szCs w:val="32"/>
          <w:spacing w:val="3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大中型重点水利工程建设项目应加强现场监督。重点监督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招标人代表、评标专家、招标代理机构服务人员有无干预评审活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动、暗箱操作等违反法律法规规定的情形和行为。</w:t>
      </w:r>
    </w:p>
    <w:p>
      <w:pPr>
        <w:ind w:left="1595" w:right="1476" w:firstLine="663"/>
        <w:spacing w:before="255" w:line="30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第十一条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评标委员会的专家应当从山东省公共资源交易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综合评标评审专家库中随机抽取，</w:t>
      </w:r>
      <w:r>
        <w:rPr>
          <w:rFonts w:ascii="FangSong" w:hAnsi="FangSong" w:eastAsia="FangSong" w:cs="FangSong"/>
          <w:sz w:val="32"/>
          <w:szCs w:val="32"/>
          <w:spacing w:val="-35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行政监督部门可以派员进行现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场监督。评标委员会成员应客观、公正地履行职责，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遵守职业道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德，</w:t>
      </w:r>
      <w:r>
        <w:rPr>
          <w:rFonts w:ascii="FangSong" w:hAnsi="FangSong" w:eastAsia="FangSong" w:cs="FangSong"/>
          <w:sz w:val="32"/>
          <w:szCs w:val="32"/>
          <w:spacing w:val="9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独立、负责、公正、公平地赋分，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提出具体、详实的评审意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见，并对所提出的评审意见负责。</w:t>
      </w:r>
    </w:p>
    <w:p>
      <w:pPr>
        <w:ind w:left="1601" w:right="1475" w:firstLine="656"/>
        <w:spacing w:before="257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第十二条</w:t>
      </w:r>
      <w:r>
        <w:rPr>
          <w:rFonts w:ascii="FangSong" w:hAnsi="FangSong" w:eastAsia="FangSong" w:cs="FangSong"/>
          <w:sz w:val="32"/>
          <w:szCs w:val="32"/>
          <w:spacing w:val="16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</w:rPr>
        <w:t>在确定中标人后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15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日内，招标人须向行政监督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部门提交备案的招标投标情况书面总结报告。报告主要内容包</w:t>
      </w:r>
    </w:p>
    <w:p>
      <w:pPr>
        <w:sectPr>
          <w:footerReference w:type="default" r:id="rId7"/>
          <w:pgSz w:w="11907" w:h="16839"/>
          <w:pgMar w:top="0" w:right="0" w:bottom="1106" w:left="0" w:header="0" w:footer="914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3" w:lineRule="auto"/>
        <w:rPr>
          <w:rFonts w:ascii="SimSun"/>
          <w:sz w:val="21"/>
        </w:rPr>
      </w:pPr>
      <w:r/>
    </w:p>
    <w:p>
      <w:pPr>
        <w:ind w:left="1599" w:right="1476" w:firstLine="6"/>
        <w:spacing w:before="10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括：</w:t>
      </w:r>
      <w:r>
        <w:rPr>
          <w:rFonts w:ascii="FangSong" w:hAnsi="FangSong" w:eastAsia="FangSong" w:cs="FangSong"/>
          <w:sz w:val="32"/>
          <w:szCs w:val="32"/>
          <w:spacing w:val="96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工程概况、招标情况、开标过程、评标过程、评标结果、评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标办法、中标结果、异议及投诉处理情况等。</w:t>
      </w:r>
    </w:p>
    <w:p>
      <w:pPr>
        <w:ind w:left="1639" w:right="1476" w:firstLine="619"/>
        <w:spacing w:before="1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第十三条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行政监督部门应当依法依规查处招标投标活动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中的违法违规行为，保证招标投标公正公平。</w:t>
      </w:r>
    </w:p>
    <w:p>
      <w:pPr>
        <w:ind w:left="1601" w:right="1473" w:firstLine="627"/>
        <w:spacing w:before="1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（一）在开标过程中，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发现严重违法违规行为时，</w:t>
      </w:r>
      <w:r>
        <w:rPr>
          <w:rFonts w:ascii="FangSong" w:hAnsi="FangSong" w:eastAsia="FangSong" w:cs="FangSong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行政监督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部门有权要求招标人暂停开标或依法宣布开标结果无效。</w:t>
      </w:r>
    </w:p>
    <w:p>
      <w:pPr>
        <w:ind w:left="1599" w:right="1473" w:firstLine="630"/>
        <w:spacing w:before="3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（二）在评标过程中，</w:t>
      </w:r>
      <w:r>
        <w:rPr>
          <w:rFonts w:ascii="FangSong" w:hAnsi="FangSong" w:eastAsia="FangSong" w:cs="FangSong"/>
          <w:sz w:val="32"/>
          <w:szCs w:val="32"/>
          <w:spacing w:val="-1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行政监督部门有权检查评委的打分结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果，</w:t>
      </w:r>
      <w:r>
        <w:rPr>
          <w:rFonts w:ascii="FangSong" w:hAnsi="FangSong" w:eastAsia="FangSong" w:cs="FangSong"/>
          <w:sz w:val="32"/>
          <w:szCs w:val="32"/>
          <w:spacing w:val="4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必要时可要求评委对有疑问的打分予以解释。发现评标委员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会成员和相关工作人员有违法违规行为时，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行政监督部门有权取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消违法违规人员的评标资格和停止相关人员的工作。如有严重违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法违规行为，</w:t>
      </w:r>
      <w:r>
        <w:rPr>
          <w:rFonts w:ascii="FangSong" w:hAnsi="FangSong" w:eastAsia="FangSong" w:cs="FangSong"/>
          <w:sz w:val="32"/>
          <w:szCs w:val="32"/>
          <w:spacing w:val="105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有权要求招标人或评标委员会中止或取消评标活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动，另行组织评标或做出评标结果无效的决定。</w:t>
      </w:r>
    </w:p>
    <w:p>
      <w:pPr>
        <w:ind w:left="1611" w:right="1475" w:firstLine="617"/>
        <w:spacing w:line="2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（三）对招标投标活动中的违法违规行为或电子监管系统监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测预警事项，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行政监督部门应及时予以制止并责令改正，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视情节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轻重，采取相应措施进行处理。</w:t>
      </w:r>
    </w:p>
    <w:p>
      <w:pPr>
        <w:ind w:left="1605" w:right="1476" w:firstLine="653"/>
        <w:spacing w:before="25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第十四条</w:t>
      </w:r>
      <w:r>
        <w:rPr>
          <w:rFonts w:ascii="FangSong" w:hAnsi="FangSong" w:eastAsia="FangSong" w:cs="FangSong"/>
          <w:sz w:val="32"/>
          <w:szCs w:val="32"/>
          <w:spacing w:val="25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行政监督部门应当建立健全投诉举报接收、转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办、反馈工作机制。投诉处理按照《工程建设项目招标投标活动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投诉处理办法》等有关规定执行。</w:t>
      </w:r>
    </w:p>
    <w:p>
      <w:pPr>
        <w:ind w:left="1609" w:right="1470" w:firstLine="633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行政监督部门应当自收到投诉之日起</w:t>
      </w:r>
      <w:r>
        <w:rPr>
          <w:rFonts w:ascii="FangSong" w:hAnsi="FangSong" w:eastAsia="FangSong" w:cs="FangSong"/>
          <w:sz w:val="32"/>
          <w:szCs w:val="32"/>
          <w:spacing w:val="6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3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个工作日内决定是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否受理投诉，并自受理投诉之日起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30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个工作日内作出书面处理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决定；</w:t>
      </w:r>
      <w:r>
        <w:rPr>
          <w:rFonts w:ascii="FangSong" w:hAnsi="FangSong" w:eastAsia="FangSong" w:cs="FangSong"/>
          <w:sz w:val="32"/>
          <w:szCs w:val="32"/>
          <w:spacing w:val="77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需要检验、检测、鉴定、专家评审的，</w:t>
      </w:r>
      <w:r>
        <w:rPr>
          <w:rFonts w:ascii="FangSong" w:hAnsi="FangSong" w:eastAsia="FangSong" w:cs="FangSong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所需时间不计算在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内。</w:t>
      </w:r>
    </w:p>
    <w:p>
      <w:pPr>
        <w:sectPr>
          <w:footerReference w:type="default" r:id="rId8"/>
          <w:pgSz w:w="11907" w:h="16839"/>
          <w:pgMar w:top="0" w:right="0" w:bottom="1224" w:left="0" w:header="0" w:footer="1030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3" w:lineRule="auto"/>
        <w:rPr>
          <w:rFonts w:ascii="SimSun"/>
          <w:sz w:val="21"/>
        </w:rPr>
      </w:pPr>
      <w:r/>
    </w:p>
    <w:p>
      <w:pPr>
        <w:ind w:left="1615" w:right="1425" w:firstLine="643"/>
        <w:spacing w:before="10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第十五条</w:t>
      </w:r>
      <w:r>
        <w:rPr>
          <w:rFonts w:ascii="FangSong" w:hAnsi="FangSong" w:eastAsia="FangSong" w:cs="FangSong"/>
          <w:sz w:val="32"/>
          <w:szCs w:val="32"/>
          <w:spacing w:val="19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</w:rPr>
        <w:t>行政监督部门处理投诉事项，</w:t>
      </w:r>
      <w:r>
        <w:rPr>
          <w:rFonts w:ascii="FangSong" w:hAnsi="FangSong" w:eastAsia="FangSong" w:cs="FangSong"/>
          <w:sz w:val="32"/>
          <w:szCs w:val="32"/>
          <w:spacing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有权查阅、复制有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关文件、资料，调查有关情况，相关单位和人员应当予以配合。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必要时，</w:t>
      </w:r>
      <w:r>
        <w:rPr>
          <w:rFonts w:ascii="FangSong" w:hAnsi="FangSong" w:eastAsia="FangSong" w:cs="FangSong"/>
          <w:sz w:val="32"/>
          <w:szCs w:val="32"/>
          <w:spacing w:val="63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行政监督部门可以责令暂停招标投标活动。</w:t>
      </w:r>
    </w:p>
    <w:p>
      <w:pPr>
        <w:ind w:left="1626" w:right="1480" w:firstLine="615"/>
        <w:spacing w:line="2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行政监督部门的工作人员对监督检查过程中知悉的国家秘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密、商业秘密，应当依法予以保密。</w:t>
      </w:r>
    </w:p>
    <w:p>
      <w:pPr>
        <w:ind w:left="1595" w:right="1373" w:firstLine="663"/>
        <w:spacing w:before="261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第十六条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</w:rPr>
        <w:t>投诉人应为投标人或者其他利害关系人。其他利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害关系人是指投标人以外的，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因招标项目或者招标活动导致权益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被侵害的法人、其他组织和自然人。投诉人对招标投标活动违法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违规行为进行投诉的，</w:t>
      </w:r>
      <w:r>
        <w:rPr>
          <w:rFonts w:ascii="FangSong" w:hAnsi="FangSong" w:eastAsia="FangSong" w:cs="FangSong"/>
          <w:sz w:val="32"/>
          <w:szCs w:val="32"/>
          <w:spacing w:val="109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应当有明确的请求和必要的书面证明材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料。其中对《中华人民共和国招标投标法实施条例》第二十二条、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第四十四条、第五十四条规定事项进行投诉的，</w:t>
      </w:r>
      <w:r>
        <w:rPr>
          <w:rFonts w:ascii="FangSong" w:hAnsi="FangSong" w:eastAsia="FangSong" w:cs="FangSong"/>
          <w:sz w:val="32"/>
          <w:szCs w:val="32"/>
          <w:spacing w:val="5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应当先向招标人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提出异议。</w:t>
      </w:r>
    </w:p>
    <w:p>
      <w:pPr>
        <w:ind w:left="1601" w:right="1433" w:firstLine="644"/>
        <w:spacing w:before="5" w:line="28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投诉人捏造事实、伪造材料或者以非法手段取得证明材料进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行投诉的，属于虚假、恶意投诉，</w:t>
      </w:r>
      <w:r>
        <w:rPr>
          <w:rFonts w:ascii="FangSong" w:hAnsi="FangSong" w:eastAsia="FangSong" w:cs="FangSong"/>
          <w:sz w:val="32"/>
          <w:szCs w:val="32"/>
          <w:spacing w:val="86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行政监督部门应当予以驳回，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并记入投诉人信用记录。</w:t>
      </w:r>
    </w:p>
    <w:p>
      <w:pPr>
        <w:ind w:left="1621" w:right="1475" w:firstLine="636"/>
        <w:spacing w:before="258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第十七条</w:t>
      </w:r>
      <w:r>
        <w:rPr>
          <w:rFonts w:ascii="FangSong" w:hAnsi="FangSong" w:eastAsia="FangSong" w:cs="FangSong"/>
          <w:sz w:val="32"/>
          <w:szCs w:val="32"/>
          <w:spacing w:val="17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</w:rPr>
        <w:t>行政监督部门应当建立监督检查机制，</w:t>
      </w:r>
      <w:r>
        <w:rPr>
          <w:rFonts w:ascii="FangSong" w:hAnsi="FangSong" w:eastAsia="FangSong" w:cs="FangSong"/>
          <w:sz w:val="32"/>
          <w:szCs w:val="32"/>
          <w:spacing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通过“双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随机、一公开”、网络核查、大数据监测、绩效评估等方式，</w:t>
      </w:r>
      <w:r>
        <w:rPr>
          <w:rFonts w:ascii="FangSong" w:hAnsi="FangSong" w:eastAsia="FangSong" w:cs="FangSong"/>
          <w:sz w:val="32"/>
          <w:szCs w:val="32"/>
          <w:spacing w:val="79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强对招标投标活动的监管。</w:t>
      </w:r>
    </w:p>
    <w:p>
      <w:pPr>
        <w:ind w:left="1609" w:right="1475" w:firstLine="649"/>
        <w:spacing w:line="2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第十八条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</w:rPr>
        <w:t>对不按规定提交招标报告、招标文件、招标投标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总结报告以及不接受行政监督的招标人，</w:t>
      </w:r>
      <w:r>
        <w:rPr>
          <w:rFonts w:ascii="FangSong" w:hAnsi="FangSong" w:eastAsia="FangSong" w:cs="FangSong"/>
          <w:sz w:val="32"/>
          <w:szCs w:val="32"/>
          <w:spacing w:val="-48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行政监督部门可以采取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通报、约谈等方式，责令限期改正。</w:t>
      </w:r>
    </w:p>
    <w:p>
      <w:pPr>
        <w:ind w:firstLine="2258"/>
        <w:spacing w:before="257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第十九条</w:t>
      </w:r>
      <w:r>
        <w:rPr>
          <w:rFonts w:ascii="FangSong" w:hAnsi="FangSong" w:eastAsia="FangSong" w:cs="FangSong"/>
          <w:sz w:val="32"/>
          <w:szCs w:val="32"/>
          <w:spacing w:val="14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</w:rPr>
        <w:t>对招标人、招标代理机构、投标人、评标专家和</w:t>
      </w:r>
    </w:p>
    <w:p>
      <w:pPr>
        <w:sectPr>
          <w:footerReference w:type="default" r:id="rId9"/>
          <w:pgSz w:w="11907" w:h="16839"/>
          <w:pgMar w:top="0" w:right="0" w:bottom="1106" w:left="0" w:header="0" w:footer="914" w:gutter="0"/>
        </w:sectPr>
        <w:rPr/>
      </w:pPr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2" w:lineRule="auto"/>
        <w:rPr>
          <w:rFonts w:ascii="SimSun"/>
          <w:sz w:val="21"/>
        </w:rPr>
      </w:pPr>
      <w:r/>
    </w:p>
    <w:p>
      <w:pPr>
        <w:spacing w:line="253" w:lineRule="auto"/>
        <w:rPr>
          <w:rFonts w:ascii="SimSun"/>
          <w:sz w:val="21"/>
        </w:rPr>
      </w:pPr>
      <w:r/>
    </w:p>
    <w:p>
      <w:pPr>
        <w:ind w:left="1608" w:right="1476" w:hanging="11"/>
        <w:spacing w:before="10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相关工作人员违反有关法律、法规、规章的行为，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行政监督部门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应当按照有关法律、法规、规章进行处罚或处理。</w:t>
      </w:r>
    </w:p>
    <w:p>
      <w:pPr>
        <w:ind w:left="1605" w:right="1425" w:firstLine="653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第二十条</w:t>
      </w:r>
      <w:r>
        <w:rPr>
          <w:rFonts w:ascii="FangSong" w:hAnsi="FangSong" w:eastAsia="FangSong" w:cs="FangSong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12"/>
        </w:rPr>
        <w:t>有关行政监督部门不依法履行职责，</w:t>
      </w:r>
      <w:r>
        <w:rPr>
          <w:rFonts w:ascii="FangSong" w:hAnsi="FangSong" w:eastAsia="FangSong" w:cs="FangSong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对违反有关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法律、法规、规章的行为不依法查处，</w:t>
      </w:r>
      <w:r>
        <w:rPr>
          <w:rFonts w:ascii="FangSong" w:hAnsi="FangSong" w:eastAsia="FangSong" w:cs="FangSong"/>
          <w:sz w:val="32"/>
          <w:szCs w:val="32"/>
          <w:spacing w:val="40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或者不按照相关规定处理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投诉、不依法公告对招标投标当事人违法行为的行政处理决定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的，对直接负责的主管人员和其他直接责任人员依法给予处分。</w:t>
      </w:r>
    </w:p>
    <w:p>
      <w:pPr>
        <w:ind w:left="1596" w:right="1387" w:firstLine="662"/>
        <w:spacing w:before="2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第二十一条</w:t>
      </w:r>
      <w:r>
        <w:rPr>
          <w:rFonts w:ascii="FangSong" w:hAnsi="FangSong" w:eastAsia="FangSong" w:cs="FangSong"/>
          <w:sz w:val="32"/>
          <w:szCs w:val="32"/>
          <w:spacing w:val="26"/>
        </w:rPr>
        <w:t>  </w:t>
      </w:r>
      <w:r>
        <w:rPr>
          <w:rFonts w:ascii="FangSong" w:hAnsi="FangSong" w:eastAsia="FangSong" w:cs="FangSong"/>
          <w:sz w:val="32"/>
          <w:szCs w:val="32"/>
          <w:spacing w:val="5"/>
        </w:rPr>
        <w:t>对招标投标活动依法负有行政监督职责的国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家机关工作人员徇私舞弊、滥用职权或者玩忽职守，</w:t>
      </w:r>
      <w:r>
        <w:rPr>
          <w:rFonts w:ascii="FangSong" w:hAnsi="FangSong" w:eastAsia="FangSong" w:cs="FangSong"/>
          <w:sz w:val="32"/>
          <w:szCs w:val="32"/>
          <w:spacing w:val="-55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构成犯罪的，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依法追究刑事责任；不构成犯罪的，依法给予行政处分。</w:t>
      </w:r>
    </w:p>
    <w:p>
      <w:pPr>
        <w:ind w:left="1614" w:right="1471" w:firstLine="644"/>
        <w:spacing w:before="1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第二十二条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-10"/>
        </w:rPr>
        <w:t>本办法自</w:t>
      </w:r>
      <w:r>
        <w:rPr>
          <w:rFonts w:ascii="FangSong" w:hAnsi="FangSong" w:eastAsia="FangSong" w:cs="FangSong"/>
          <w:sz w:val="32"/>
          <w:szCs w:val="32"/>
          <w:spacing w:val="-1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2022</w:t>
      </w:r>
      <w:r>
        <w:rPr>
          <w:rFonts w:ascii="FangSong" w:hAnsi="FangSong" w:eastAsia="FangSong" w:cs="FangSong"/>
          <w:sz w:val="32"/>
          <w:szCs w:val="32"/>
          <w:spacing w:val="-3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年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1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月</w:t>
      </w:r>
      <w:r>
        <w:rPr>
          <w:rFonts w:ascii="FangSong" w:hAnsi="FangSong" w:eastAsia="FangSong" w:cs="FangSong"/>
          <w:sz w:val="32"/>
          <w:szCs w:val="32"/>
          <w:spacing w:val="-1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1</w:t>
      </w:r>
      <w:r>
        <w:rPr>
          <w:rFonts w:ascii="FangSong" w:hAnsi="FangSong" w:eastAsia="FangSong" w:cs="FangSong"/>
          <w:sz w:val="32"/>
          <w:szCs w:val="32"/>
          <w:spacing w:val="2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日起施行,有效期至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2026</w:t>
      </w:r>
      <w:r>
        <w:rPr>
          <w:rFonts w:ascii="FangSong" w:hAnsi="FangSong" w:eastAsia="FangSong" w:cs="FangSong"/>
          <w:sz w:val="32"/>
          <w:szCs w:val="32"/>
          <w:spacing w:val="-3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年</w:t>
      </w:r>
      <w:r>
        <w:rPr>
          <w:rFonts w:ascii="FangSong" w:hAnsi="FangSong" w:eastAsia="FangSong" w:cs="FangSong"/>
          <w:sz w:val="32"/>
          <w:szCs w:val="32"/>
          <w:spacing w:val="-4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12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月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31</w:t>
      </w:r>
      <w:r>
        <w:rPr>
          <w:rFonts w:ascii="FangSong" w:hAnsi="FangSong" w:eastAsia="FangSong" w:cs="FangSong"/>
          <w:sz w:val="32"/>
          <w:szCs w:val="32"/>
          <w:spacing w:val="-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日。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7" w:lineRule="auto"/>
        <w:rPr>
          <w:rFonts w:ascii="SimSun"/>
          <w:sz w:val="21"/>
        </w:rPr>
      </w:pPr>
      <w:r/>
    </w:p>
    <w:p>
      <w:pPr>
        <w:spacing w:line="248" w:lineRule="auto"/>
        <w:rPr>
          <w:rFonts w:ascii="SimSun"/>
          <w:sz w:val="21"/>
        </w:rPr>
      </w:pPr>
      <w:r/>
    </w:p>
    <w:p>
      <w:pPr>
        <w:spacing w:line="248" w:lineRule="auto"/>
        <w:rPr>
          <w:rFonts w:ascii="SimSun"/>
          <w:sz w:val="21"/>
        </w:rPr>
      </w:pPr>
      <w:r/>
    </w:p>
    <w:p>
      <w:pPr>
        <w:spacing w:line="248" w:lineRule="auto"/>
        <w:rPr>
          <w:rFonts w:ascii="SimSun"/>
          <w:sz w:val="21"/>
        </w:rPr>
      </w:pPr>
      <w:r/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601"/>
        <w:spacing w:before="104" w:line="18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2"/>
        </w:rPr>
        <w:t>信息公开选项：</w:t>
      </w:r>
      <w:r>
        <w:rPr>
          <w:rFonts w:ascii="SimHei" w:hAnsi="SimHei" w:eastAsia="SimHei" w:cs="SimHei"/>
          <w:sz w:val="32"/>
          <w:szCs w:val="32"/>
          <w:spacing w:val="85"/>
        </w:rPr>
        <w:t> </w:t>
      </w:r>
      <w:r>
        <w:rPr>
          <w:rFonts w:ascii="SimHei" w:hAnsi="SimHei" w:eastAsia="SimHei" w:cs="SimHei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2"/>
        </w:rPr>
        <w:t>主动公开</w:t>
      </w:r>
    </w:p>
    <w:p>
      <w:pPr>
        <w:spacing w:line="163" w:lineRule="exact"/>
        <w:rPr/>
      </w:pPr>
      <w:r/>
    </w:p>
    <w:tbl>
      <w:tblPr>
        <w:tblStyle w:val="2"/>
        <w:tblW w:w="8820" w:type="dxa"/>
        <w:tblInd w:w="1587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212"/>
        <w:gridCol w:w="4608"/>
      </w:tblGrid>
      <w:tr>
        <w:trPr>
          <w:trHeight w:val="581" w:hRule="atLeast"/>
        </w:trPr>
        <w:tc>
          <w:tcPr>
            <w:tcW w:w="4212" w:type="dxa"/>
            <w:vAlign w:val="top"/>
            <w:tcBorders>
              <w:bottom w:val="single" w:color="000000" w:sz="6" w:space="0"/>
              <w:top w:val="single" w:color="000000" w:sz="2" w:space="0"/>
            </w:tcBorders>
          </w:tcPr>
          <w:p>
            <w:pPr>
              <w:ind w:firstLine="328"/>
              <w:spacing w:before="183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山东省水利厅办公室</w:t>
            </w:r>
          </w:p>
        </w:tc>
        <w:tc>
          <w:tcPr>
            <w:tcW w:w="4608" w:type="dxa"/>
            <w:vAlign w:val="top"/>
            <w:tcBorders>
              <w:bottom w:val="single" w:color="000000" w:sz="6" w:space="0"/>
              <w:top w:val="single" w:color="000000" w:sz="2" w:space="0"/>
            </w:tcBorders>
          </w:tcPr>
          <w:p>
            <w:pPr>
              <w:ind w:firstLine="1552"/>
              <w:spacing w:before="183" w:line="18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2021</w:t>
            </w:r>
            <w:r>
              <w:rPr>
                <w:rFonts w:ascii="FangSong" w:hAnsi="FangSong" w:eastAsia="FangSong" w:cs="FangSong"/>
                <w:sz w:val="28"/>
                <w:szCs w:val="28"/>
                <w:spacing w:val="-50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4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12</w:t>
            </w:r>
            <w:r>
              <w:rPr>
                <w:rFonts w:ascii="FangSong" w:hAnsi="FangSong" w:eastAsia="FangSong" w:cs="FangSong"/>
                <w:sz w:val="28"/>
                <w:szCs w:val="28"/>
                <w:spacing w:val="-46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4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14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4"/>
              </w:rPr>
              <w:t>日印发</w:t>
            </w:r>
          </w:p>
        </w:tc>
      </w:tr>
    </w:tbl>
    <w:p>
      <w:pPr>
        <w:rPr>
          <w:rFonts w:ascii="SimSun"/>
          <w:sz w:val="21"/>
        </w:rPr>
      </w:pPr>
      <w:r/>
    </w:p>
    <w:sectPr>
      <w:footerReference w:type="default" r:id="rId10"/>
      <w:pgSz w:w="11907" w:h="16839"/>
      <w:pgMar w:top="0" w:right="0" w:bottom="1224" w:left="0" w:header="0" w:footer="103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9742"/>
      <w:spacing w:line="195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  <w:position w:val="-4"/>
      </w:rPr>
      <w:t>-</w:t>
    </w:r>
    <w:r>
      <w:rPr>
        <w:rFonts w:ascii="SimSun" w:hAnsi="SimSun" w:eastAsia="SimSun" w:cs="SimSun"/>
        <w:sz w:val="28"/>
        <w:szCs w:val="28"/>
        <w:spacing w:val="34"/>
        <w:position w:val="-4"/>
      </w:rPr>
      <w:t> </w:t>
    </w:r>
    <w:r>
      <w:rPr>
        <w:rFonts w:ascii="SimSun" w:hAnsi="SimSun" w:eastAsia="SimSun" w:cs="SimSun"/>
        <w:sz w:val="28"/>
        <w:szCs w:val="28"/>
        <w:spacing w:val="-14"/>
        <w:position w:val="-4"/>
      </w:rPr>
      <w:t>1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14"/>
        <w:position w:val="-4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597"/>
      <w:spacing w:line="19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  <w:position w:val="-4"/>
      </w:rPr>
      <w:t>-</w:t>
    </w:r>
    <w:r>
      <w:rPr>
        <w:rFonts w:ascii="SimSun" w:hAnsi="SimSun" w:eastAsia="SimSun" w:cs="SimSun"/>
        <w:sz w:val="28"/>
        <w:szCs w:val="28"/>
        <w:spacing w:val="16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2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9742"/>
      <w:spacing w:line="19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  <w:r>
      <w:rPr>
        <w:rFonts w:ascii="SimSun" w:hAnsi="SimSun" w:eastAsia="SimSun" w:cs="SimSun"/>
        <w:sz w:val="28"/>
        <w:szCs w:val="28"/>
        <w:spacing w:val="1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3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597"/>
      <w:spacing w:line="19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  <w:position w:val="-4"/>
      </w:rPr>
      <w:t>-</w:t>
    </w:r>
    <w:r>
      <w:rPr>
        <w:rFonts w:ascii="SimSun" w:hAnsi="SimSun" w:eastAsia="SimSun" w:cs="SimSun"/>
        <w:sz w:val="28"/>
        <w:szCs w:val="28"/>
        <w:spacing w:val="10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position w:val="-4"/>
      </w:rPr>
      <w:t>4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position w:val="-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9742"/>
      <w:spacing w:line="192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  <w:r>
      <w:rPr>
        <w:rFonts w:ascii="SimSun" w:hAnsi="SimSun" w:eastAsia="SimSun" w:cs="SimSun"/>
        <w:sz w:val="28"/>
        <w:szCs w:val="28"/>
        <w:spacing w:val="1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5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597"/>
      <w:spacing w:line="19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  <w:position w:val="-4"/>
      </w:rPr>
      <w:t>-</w:t>
    </w:r>
    <w:r>
      <w:rPr>
        <w:rFonts w:ascii="SimSun" w:hAnsi="SimSun" w:eastAsia="SimSun" w:cs="SimSun"/>
        <w:sz w:val="28"/>
        <w:szCs w:val="28"/>
        <w:spacing w:val="16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6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9742"/>
      <w:spacing w:line="192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  <w:r>
      <w:rPr>
        <w:rFonts w:ascii="SimSun" w:hAnsi="SimSun" w:eastAsia="SimSun" w:cs="SimSun"/>
        <w:sz w:val="28"/>
        <w:szCs w:val="28"/>
        <w:spacing w:val="1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7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597"/>
      <w:spacing w:line="194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  <w:position w:val="-4"/>
      </w:rPr>
      <w:t>-</w:t>
    </w:r>
    <w:r>
      <w:rPr>
        <w:rFonts w:ascii="SimSun" w:hAnsi="SimSun" w:eastAsia="SimSun" w:cs="SimSun"/>
        <w:sz w:val="28"/>
        <w:szCs w:val="28"/>
        <w:spacing w:val="13"/>
        <w:position w:val="-4"/>
      </w:rPr>
      <w:t> </w:t>
    </w:r>
    <w:r>
      <w:rPr>
        <w:rFonts w:ascii="SimSun" w:hAnsi="SimSun" w:eastAsia="SimSun" w:cs="SimSun"/>
        <w:sz w:val="28"/>
        <w:szCs w:val="28"/>
        <w:spacing w:val="-7"/>
        <w:position w:val="-4"/>
      </w:rPr>
      <w:t>8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7"/>
        <w:position w:val="-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煎ᱷŬ㑒</dc:title>
  <dc:creator>lyr</dc:creator>
  <dcterms:created xsi:type="dcterms:W3CDTF">2021-12-15T16:04:50Z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2021-12-22T13:52:54</vt:filetime>
  </op:property>
</op:Properties>
</file>