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枣庄市城市建成区黑臭水体治理情况公示表</w:t>
      </w:r>
    </w:p>
    <w:tbl>
      <w:tblPr>
        <w:tblStyle w:val="3"/>
        <w:tblW w:w="9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19"/>
        <w:gridCol w:w="1568"/>
        <w:gridCol w:w="641"/>
        <w:gridCol w:w="1022"/>
        <w:gridCol w:w="941"/>
        <w:gridCol w:w="1187"/>
        <w:gridCol w:w="234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区（市）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黑臭水体名称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黑臭等级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实际开始治理日期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实际达标日期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达标后水质标准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截至2019年12月31日实际工程进度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整治效果评估情况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市中区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枣庄市市中区二号渠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重度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2016.9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2017.3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满足《城市黑臭水体整治工作指南》“无黑臭”的水质指标要求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西沙河下游（光明路至汇泉路）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重度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2017.3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2017.1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齐村支流（建华路至枣曹路）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重度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2017.7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2017.12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东沙河下游（人民路至东外环）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重度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2015.12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2016.10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薛城区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小沙河东支（德仁路桥至长江路桥）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重度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2016.10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2016.12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小沙河西支（天安步行街至天山路桥）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重度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2016.5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2018.11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峄城区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小河沟（坛山西路至中兴大道）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轻度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2017.11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2017.12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台儿庄区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北环河（广进路至东顺路）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轻度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2017.6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2018.8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兰祺河（华兴路至台北路）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轻度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2017.3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2017.7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滕州市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小清河西段黑臭水体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轻度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2017.8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2018.8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工程竣工，完成整治工程各项工程任务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完成初见成效评估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E72ED"/>
    <w:rsid w:val="0E873C30"/>
    <w:rsid w:val="140E72ED"/>
    <w:rsid w:val="470B4265"/>
    <w:rsid w:val="5D6D23E0"/>
    <w:rsid w:val="65B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0"/>
      <w:sz w:val="32"/>
      <w:szCs w:val="36"/>
      <w:u w:val="non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2019-12-20T05:22:00Z</dcterms:created>
  <dc:creator>河长办</dc:creator>
  <cp:lastModifiedBy>关尔慧</cp:lastModifiedBy>
  <dcterms:modified xsi:type="dcterms:W3CDTF">2019-12-20T06:31:47Z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